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4" w:rsidRDefault="00B95E24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B95E24">
        <w:rPr>
          <w:rFonts w:ascii="Arial" w:hAnsi="Arial" w:cs="Arial"/>
          <w:b/>
          <w:bCs/>
          <w:color w:val="C0504D" w:themeColor="accent2"/>
          <w:sz w:val="28"/>
          <w:szCs w:val="28"/>
        </w:rPr>
        <w:t>Санитарно-химические исследования питьевой воды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B95E24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B95E24" w:rsidRPr="00B95E24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 теоретических знаний и практических навыков работы по контролю качества питьевой воды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Общие требования к компетентности лабораторий, выполняющих анализы воды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Техника безопасности при работе химической лаборатории, электро - пожарная безопасность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Современные требования к качеству воды. Организация контроля качества воды 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Физико-химические методы анализа воды 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Контроль качества анализов </w:t>
      </w:r>
    </w:p>
    <w:p w:rsidR="00B95E24" w:rsidRPr="00B95E24" w:rsidRDefault="00B95E24" w:rsidP="00B95E24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95E24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Основные требования, предъявляемые к работе с микроорганизмами III-IV групп патогенности</w:t>
      </w:r>
    </w:p>
    <w:p w:rsidR="00FD2F8A" w:rsidRPr="00FD2F8A" w:rsidRDefault="00FD2F8A" w:rsidP="00FD2F8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086A"/>
    <w:rsid w:val="002E74E0"/>
    <w:rsid w:val="003031F9"/>
    <w:rsid w:val="00305EFD"/>
    <w:rsid w:val="0048169A"/>
    <w:rsid w:val="004B195C"/>
    <w:rsid w:val="004F1EBA"/>
    <w:rsid w:val="0066097A"/>
    <w:rsid w:val="006A774F"/>
    <w:rsid w:val="006E5801"/>
    <w:rsid w:val="00781385"/>
    <w:rsid w:val="008079AE"/>
    <w:rsid w:val="0084440A"/>
    <w:rsid w:val="00AE26B5"/>
    <w:rsid w:val="00B95E24"/>
    <w:rsid w:val="00C820AA"/>
    <w:rsid w:val="00CC7BF3"/>
    <w:rsid w:val="00E4128C"/>
    <w:rsid w:val="00F7087D"/>
    <w:rsid w:val="00F83E79"/>
    <w:rsid w:val="00FD2F8A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D46-9EF5-4530-94C0-482F438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Юрова</dc:creator>
  <cp:lastModifiedBy>User</cp:lastModifiedBy>
  <cp:revision>2</cp:revision>
  <cp:lastPrinted>2015-06-19T10:35:00Z</cp:lastPrinted>
  <dcterms:created xsi:type="dcterms:W3CDTF">2015-09-01T12:09:00Z</dcterms:created>
  <dcterms:modified xsi:type="dcterms:W3CDTF">2015-09-01T12:09:00Z</dcterms:modified>
</cp:coreProperties>
</file>