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A" w:rsidRDefault="00DB04CA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DB04CA">
        <w:rPr>
          <w:rFonts w:ascii="Arial" w:hAnsi="Arial" w:cs="Arial"/>
          <w:b/>
          <w:bCs/>
          <w:color w:val="C0504D" w:themeColor="accent2"/>
          <w:sz w:val="28"/>
          <w:szCs w:val="28"/>
        </w:rPr>
        <w:t>Выделение чистых культур дрожжей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027953" w:rsidRPr="00027953">
        <w:rPr>
          <w:rFonts w:ascii="Arial" w:hAnsi="Arial" w:cs="Arial"/>
          <w:bCs/>
          <w:i/>
          <w:iCs/>
          <w:color w:val="333333"/>
          <w:sz w:val="20"/>
          <w:szCs w:val="20"/>
        </w:rPr>
        <w:t>расширение личностных и профессиональных возможностей (умений и навыков) специалистов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Дрожжевое производство 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Спиртовое производство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Ликёроводочное производство 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Пивоваренное и безалкогольное производство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Виноделие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Методы выделения чистых культур и их применение в производстве пищевых продуктов 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Методы идентификации микробных культур 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Общая микробиология: прокариоты (бактерии), эукариоты (грибы, дрожжи). Морфологические, </w:t>
      </w:r>
      <w:proofErr w:type="spellStart"/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культуральные</w:t>
      </w:r>
      <w:proofErr w:type="spellEnd"/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, физиолого-биохимические признаки и свойства </w:t>
      </w:r>
    </w:p>
    <w:p w:rsidR="00DB04CA" w:rsidRPr="00DB04CA" w:rsidRDefault="00DB04CA" w:rsidP="00DB04C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B04C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Характеристика питательных сред и техника их приготовления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27953"/>
    <w:rsid w:val="001F21EB"/>
    <w:rsid w:val="002E74E0"/>
    <w:rsid w:val="003031F9"/>
    <w:rsid w:val="00305EFD"/>
    <w:rsid w:val="0048169A"/>
    <w:rsid w:val="004B195C"/>
    <w:rsid w:val="004F1EBA"/>
    <w:rsid w:val="0066097A"/>
    <w:rsid w:val="00781385"/>
    <w:rsid w:val="008079AE"/>
    <w:rsid w:val="0084440A"/>
    <w:rsid w:val="00AE26B5"/>
    <w:rsid w:val="00DB04CA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9A74-B5DF-424B-8778-C0670E71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2015-09-02T10:44:00Z</dcterms:created>
  <dcterms:modified xsi:type="dcterms:W3CDTF">2015-09-02T10:44:00Z</dcterms:modified>
</cp:coreProperties>
</file>